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kern w:val="36"/>
          <w:sz w:val="32"/>
          <w:szCs w:val="18"/>
          <w:lang w:eastAsia="ru-RU"/>
        </w:rPr>
        <w:t>П</w:t>
      </w:r>
      <w:r w:rsidR="00BE6F14">
        <w:rPr>
          <w:rFonts w:ascii="Times New Roman" w:eastAsia="Times New Roman" w:hAnsi="Times New Roman" w:cs="Times New Roman"/>
          <w:color w:val="333333"/>
          <w:kern w:val="36"/>
          <w:sz w:val="32"/>
          <w:szCs w:val="18"/>
          <w:lang w:eastAsia="ru-RU"/>
        </w:rPr>
        <w:t>РАВИЛА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proofErr w:type="spellStart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Больше-</w:t>
      </w:r>
      <w:r w:rsidR="00700590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М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еньше</w:t>
      </w:r>
      <w:proofErr w:type="spellEnd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- это серия мгновенной электронной лотереи КИБЕРЛОТО.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Чтобы выиграть, игрок должен выбрать у Крупье карта больше или меньше, чем у Игрока.</w:t>
      </w:r>
    </w:p>
    <w:p w:rsidR="00D81DEB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 Больше-меньше участвует одна колода из 52 карт от двойки до туза в каждой из четырёх мастей (пики</w:t>
      </w:r>
      <w:proofErr w:type="gramStart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(♠), </w:t>
      </w:r>
      <w:proofErr w:type="gramEnd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червы (♥), бубны </w:t>
      </w:r>
      <w:r w:rsidR="00BE6F14" w:rsidRPr="00F026A1">
        <w:rPr>
          <w:rFonts w:ascii="Times New Roman" w:hAnsi="Times New Roman" w:cs="Times New Roman"/>
        </w:rPr>
        <w:t xml:space="preserve"> (♦) 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и трефы (♣)). Перед каждой новой игрой колода заново перетасовывается.</w:t>
      </w:r>
    </w:p>
    <w:p w:rsidR="00BE6F14" w:rsidRPr="00BE6F14" w:rsidRDefault="00BE6F14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КНОПКИ и ОБОЗНАЧЕНИЯ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noProof/>
          <w:color w:val="333333"/>
          <w:sz w:val="20"/>
          <w:szCs w:val="18"/>
          <w:lang w:eastAsia="ru-RU"/>
        </w:rPr>
        <w:drawing>
          <wp:inline distT="0" distB="0" distL="0" distR="0">
            <wp:extent cx="428625" cy="415830"/>
            <wp:effectExtent l="19050" t="0" r="9525" b="0"/>
            <wp:docPr id="1" name="Рисунок 1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н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3" cy="4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  <w:t>–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развернуть меню (в мобильной версии)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428625" cy="466725"/>
            <wp:effectExtent l="19050" t="0" r="9525" b="0"/>
            <wp:docPr id="2" name="Рисунок 2" descr="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– открыть данные Правила.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419100" cy="400050"/>
            <wp:effectExtent l="19050" t="0" r="0" b="0"/>
            <wp:docPr id="3" name="Рисунок 3" descr="Включить 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ключить зв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 /</w:t>
      </w: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408403" cy="396211"/>
            <wp:effectExtent l="19050" t="0" r="0" b="0"/>
            <wp:docPr id="4" name="Рисунок 4" descr="Выключить 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ключить зву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7" cy="40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 – включить/выключить звук.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400050" cy="409575"/>
            <wp:effectExtent l="19050" t="0" r="0" b="0"/>
            <wp:docPr id="5" name="Рисунок 5" descr="Включить му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ключить музы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 / </w:t>
      </w: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438150" cy="381000"/>
            <wp:effectExtent l="19050" t="0" r="0" b="0"/>
            <wp:docPr id="6" name="Рисунок 6" descr="Включить 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лючить зву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– включить/выключить фоновую музыку.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467591" cy="514350"/>
            <wp:effectExtent l="19050" t="0" r="8659" b="0"/>
            <wp:docPr id="9" name="Рисунок 9" descr="К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сс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– пополнить баланс игрового счета либо вывести выигрыш.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b/>
          <w:color w:val="333333"/>
          <w:szCs w:val="18"/>
          <w:lang w:eastAsia="ru-RU"/>
        </w:rPr>
        <w:t>Баланс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– баланс Вашего игрового счета.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b/>
          <w:color w:val="333333"/>
          <w:szCs w:val="18"/>
          <w:lang w:eastAsia="ru-RU"/>
        </w:rPr>
        <w:t>Банк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– сумма, которую Вы можете выиграть в конкретной игре.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b/>
          <w:color w:val="333333"/>
          <w:szCs w:val="18"/>
          <w:lang w:eastAsia="ru-RU"/>
        </w:rPr>
        <w:t>Выигрыш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– значение максимального и минимального выигрыша по ставке (в серии лотереи).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545452" cy="438150"/>
            <wp:effectExtent l="19050" t="0" r="6998" b="0"/>
            <wp:docPr id="10" name="Рисунок 10" descr="Список други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исок других иг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2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– развернуть список игр.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noProof/>
          <w:color w:val="333333"/>
          <w:szCs w:val="18"/>
          <w:lang w:eastAsia="ru-RU"/>
        </w:rPr>
        <w:drawing>
          <wp:inline distT="0" distB="0" distL="0" distR="0">
            <wp:extent cx="571500" cy="438150"/>
            <wp:effectExtent l="19050" t="0" r="0" b="0"/>
            <wp:docPr id="11" name="Рисунок 11" descr="Игра на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а на день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3" cy="4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– переключиться на игру на деньги. Доступна в </w:t>
      </w:r>
      <w:proofErr w:type="spellStart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демо-режиме</w:t>
      </w:r>
      <w:proofErr w:type="spellEnd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b/>
          <w:color w:val="333333"/>
          <w:szCs w:val="18"/>
          <w:lang w:eastAsia="ru-RU"/>
        </w:rPr>
        <w:t>Играть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– начать игру. Покупка билета не происходит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'+' </w:t>
      </w:r>
      <w:proofErr w:type="spellStart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and</w:t>
      </w:r>
      <w:proofErr w:type="spellEnd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'-' - изменить размер ставки (стоимость лотерейного билета). В мобильной версии необходимо нажать ‘ &gt;’ для выбора размера ставки.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b/>
          <w:color w:val="333333"/>
          <w:szCs w:val="18"/>
          <w:lang w:eastAsia="ru-RU"/>
        </w:rPr>
        <w:t>Раздать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- раздать карты. Происходит покупка билета.</w:t>
      </w:r>
    </w:p>
    <w:p w:rsidR="00D81DEB" w:rsidRPr="00BE6F14" w:rsidRDefault="009142E6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b/>
          <w:color w:val="333333"/>
          <w:szCs w:val="18"/>
          <w:lang w:eastAsia="ru-RU"/>
        </w:rPr>
        <w:t>Больше</w:t>
      </w:r>
      <w:r w:rsidR="00D81DEB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–</w:t>
      </w:r>
      <w:r w:rsidR="00D81DEB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выбрать карта Игрока больше карты Крупье</w:t>
      </w:r>
      <w:r w:rsidR="00D81DEB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. Кнопка активна после раздачи карт.</w:t>
      </w:r>
    </w:p>
    <w:p w:rsidR="009142E6" w:rsidRDefault="009142E6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b/>
          <w:color w:val="333333"/>
          <w:szCs w:val="18"/>
          <w:lang w:eastAsia="ru-RU"/>
        </w:rPr>
        <w:t>Меньше</w:t>
      </w:r>
      <w:r w:rsidR="00D81DEB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– 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выбрать карта Игрока меньше карты Крупье. Кнопка активна после раздачи карт.</w:t>
      </w:r>
    </w:p>
    <w:p w:rsidR="00BE6F14" w:rsidRPr="00BE6F14" w:rsidRDefault="00BE6F14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</w:p>
    <w:p w:rsidR="00D81DEB" w:rsidRDefault="00BE6F14" w:rsidP="00BE6F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ДОСТОИНСТВА КАРТ</w:t>
      </w:r>
    </w:p>
    <w:p w:rsidR="00D81DEB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Достоинство карт от 2 до </w:t>
      </w:r>
      <w:r w:rsidR="009142E6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Туза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совпадает с их номинальным значением.</w:t>
      </w:r>
    </w:p>
    <w:p w:rsidR="00BE6F14" w:rsidRPr="00BE6F14" w:rsidRDefault="00BE6F14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Ставки</w:t>
      </w:r>
    </w:p>
    <w:p w:rsidR="00932340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Перед началом игры (покупкой билета), Вам необходимо выбрать размер ставки (0.</w:t>
      </w:r>
      <w:r w:rsidR="009142E6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5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, </w:t>
      </w:r>
      <w:r w:rsidR="009142E6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1.00, 2.50, 5.00, 10.00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либо </w:t>
      </w:r>
      <w:r w:rsidR="009142E6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20.00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руб.), а затем нажать кнопку</w:t>
      </w:r>
      <w:proofErr w:type="gramStart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Р</w:t>
      </w:r>
      <w:proofErr w:type="gramEnd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аздать. Крупье раздаст Вам карт</w:t>
      </w:r>
      <w:r w:rsidR="009142E6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у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.</w:t>
      </w:r>
      <w:r w:rsidR="009142E6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Все карты сдаются в </w:t>
      </w:r>
      <w:proofErr w:type="gramStart"/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открытую</w:t>
      </w:r>
      <w:proofErr w:type="gramEnd"/>
      <w:r w:rsidR="009142E6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. </w:t>
      </w:r>
      <w:r w:rsidR="00932340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Игрок должен выбрать, карта у Крупье «Больше» или «Меньше», той карты, которая выпала у него. </w:t>
      </w:r>
    </w:p>
    <w:p w:rsidR="00932340" w:rsidRPr="00BE6F14" w:rsidRDefault="0093234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 случае если у Игрока и Крупье выпадает одинаковое значение номинала карт, то выигрывает Крупье.</w:t>
      </w:r>
    </w:p>
    <w:p w:rsidR="00932340" w:rsidRDefault="0093234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Если у Игрока выпал «Туз», то Игрок выигрывает. Если у Игрока выпал «2», то выигрывает Крупье.</w:t>
      </w:r>
    </w:p>
    <w:p w:rsidR="00BE6F14" w:rsidRPr="00BE6F14" w:rsidRDefault="00BE6F14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СРАВНЕНИЕ КОМБИНАЦИЙ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После остановки крупье происходит сравнение комбинаций у Вас и крупье.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Если у Вас </w:t>
      </w:r>
      <w:r w:rsidR="00841D92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карта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больше, чем </w:t>
      </w:r>
      <w:r w:rsidR="00700590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у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крупье, </w:t>
      </w:r>
      <w:r w:rsidR="00841D92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и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Вы </w:t>
      </w:r>
      <w:r w:rsidR="00841D92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выбрали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</w:t>
      </w:r>
      <w:r w:rsidR="00700590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«М</w:t>
      </w:r>
      <w:r w:rsidR="00841D92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еньше</w:t>
      </w:r>
      <w:r w:rsidR="00700590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»</w:t>
      </w:r>
      <w:r w:rsidR="00841D92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, то Вы выиграли 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(сумму</w:t>
      </w:r>
      <w:r w:rsidR="00841D92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превышающую ставку в двукратном размере</w:t>
      </w: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).</w:t>
      </w:r>
    </w:p>
    <w:p w:rsidR="00700590" w:rsidRPr="00BE6F14" w:rsidRDefault="0070059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Если у Вас карта больше, чем у крупье, и Вы выбрали «Больше», то Вы проиграли.</w:t>
      </w:r>
    </w:p>
    <w:p w:rsidR="00700590" w:rsidRPr="00BE6F14" w:rsidRDefault="0070059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Если у Вас карта меньше, чем у крупье, и Вы выбрали «Меньше», то Вы проиграли. </w:t>
      </w:r>
    </w:p>
    <w:p w:rsidR="00700590" w:rsidRPr="00BE6F14" w:rsidRDefault="0070059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Если у Вас карта меньше, чем у крупье, и Вы выбрали «Больше», то Вы выиграли (сумму превышающую ставку в двукратном размере).</w:t>
      </w:r>
    </w:p>
    <w:p w:rsidR="00700590" w:rsidRPr="00BE6F14" w:rsidRDefault="0070059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Если у Вас выпал «Туз», то вы выиграли.</w:t>
      </w:r>
    </w:p>
    <w:p w:rsidR="00700590" w:rsidRPr="00BE6F14" w:rsidRDefault="0070059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Если у Вас выпало «2», то вы проиграли.</w:t>
      </w:r>
    </w:p>
    <w:p w:rsidR="00700590" w:rsidRPr="00BE6F14" w:rsidRDefault="0070059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Если у Вас и Крупье выпадает одинаковое значение номинала карт, то выигрывает Крупье.</w:t>
      </w:r>
    </w:p>
    <w:p w:rsidR="00700590" w:rsidRPr="00BE6F14" w:rsidRDefault="00700590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Выигрыши до BYN 1</w:t>
      </w:r>
      <w:r w:rsidR="00D81DEB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000 перечисляются автоматически на игровой счет. </w:t>
      </w:r>
    </w:p>
    <w:p w:rsidR="00D81DEB" w:rsidRPr="00BE6F14" w:rsidRDefault="00D81DEB" w:rsidP="00BE6F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Призовой фонд лотереи «КИБЕРЛОТО» серии </w:t>
      </w:r>
      <w:proofErr w:type="spellStart"/>
      <w:r w:rsidR="00700590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Больше-Меньше</w:t>
      </w:r>
      <w:proofErr w:type="spellEnd"/>
      <w:r w:rsidR="00D01308"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3301"/>
      </w:tblGrid>
      <w:tr w:rsidR="00D01308" w:rsidRPr="00BE6F14" w:rsidTr="00D01308">
        <w:tc>
          <w:tcPr>
            <w:tcW w:w="4785" w:type="dxa"/>
            <w:vAlign w:val="center"/>
          </w:tcPr>
          <w:p w:rsidR="00D01308" w:rsidRPr="00BE6F14" w:rsidRDefault="00D01308" w:rsidP="00D01308">
            <w:pPr>
              <w:spacing w:before="300"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BE6F14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Серия</w:t>
            </w:r>
          </w:p>
        </w:tc>
        <w:tc>
          <w:tcPr>
            <w:tcW w:w="3301" w:type="dxa"/>
            <w:vAlign w:val="center"/>
          </w:tcPr>
          <w:p w:rsidR="00D01308" w:rsidRPr="00BE6F14" w:rsidRDefault="00D01308" w:rsidP="00D01308">
            <w:pPr>
              <w:spacing w:before="300"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BE6F14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Призовой фонд</w:t>
            </w:r>
          </w:p>
        </w:tc>
      </w:tr>
      <w:tr w:rsidR="00D01308" w:rsidRPr="00BE6F14" w:rsidTr="00D01308">
        <w:trPr>
          <w:trHeight w:val="375"/>
        </w:trPr>
        <w:tc>
          <w:tcPr>
            <w:tcW w:w="4785" w:type="dxa"/>
            <w:noWrap/>
            <w:vAlign w:val="center"/>
            <w:hideMark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BM - 1</w:t>
            </w:r>
          </w:p>
        </w:tc>
        <w:tc>
          <w:tcPr>
            <w:tcW w:w="3301" w:type="dxa"/>
            <w:vAlign w:val="center"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75%</w:t>
            </w:r>
          </w:p>
        </w:tc>
      </w:tr>
      <w:tr w:rsidR="00D01308" w:rsidRPr="00BE6F14" w:rsidTr="00D01308">
        <w:trPr>
          <w:trHeight w:val="375"/>
        </w:trPr>
        <w:tc>
          <w:tcPr>
            <w:tcW w:w="4785" w:type="dxa"/>
            <w:noWrap/>
            <w:vAlign w:val="center"/>
            <w:hideMark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BM - 2</w:t>
            </w:r>
          </w:p>
        </w:tc>
        <w:tc>
          <w:tcPr>
            <w:tcW w:w="3301" w:type="dxa"/>
            <w:vAlign w:val="center"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76%</w:t>
            </w:r>
          </w:p>
        </w:tc>
      </w:tr>
      <w:tr w:rsidR="00D01308" w:rsidRPr="00BE6F14" w:rsidTr="00D01308">
        <w:trPr>
          <w:trHeight w:val="375"/>
        </w:trPr>
        <w:tc>
          <w:tcPr>
            <w:tcW w:w="4785" w:type="dxa"/>
            <w:noWrap/>
            <w:vAlign w:val="center"/>
            <w:hideMark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BM - 3</w:t>
            </w:r>
          </w:p>
        </w:tc>
        <w:tc>
          <w:tcPr>
            <w:tcW w:w="3301" w:type="dxa"/>
            <w:vAlign w:val="center"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77%</w:t>
            </w:r>
          </w:p>
        </w:tc>
      </w:tr>
      <w:tr w:rsidR="00D01308" w:rsidRPr="00BE6F14" w:rsidTr="00D01308">
        <w:trPr>
          <w:trHeight w:val="375"/>
        </w:trPr>
        <w:tc>
          <w:tcPr>
            <w:tcW w:w="4785" w:type="dxa"/>
            <w:noWrap/>
            <w:vAlign w:val="center"/>
            <w:hideMark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BM - 4</w:t>
            </w:r>
          </w:p>
        </w:tc>
        <w:tc>
          <w:tcPr>
            <w:tcW w:w="3301" w:type="dxa"/>
            <w:vAlign w:val="center"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 xml:space="preserve">80% </w:t>
            </w:r>
          </w:p>
        </w:tc>
      </w:tr>
      <w:tr w:rsidR="00D01308" w:rsidRPr="00BE6F14" w:rsidTr="00D01308">
        <w:trPr>
          <w:trHeight w:val="375"/>
        </w:trPr>
        <w:tc>
          <w:tcPr>
            <w:tcW w:w="4785" w:type="dxa"/>
            <w:noWrap/>
            <w:vAlign w:val="center"/>
            <w:hideMark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BM - 5</w:t>
            </w:r>
          </w:p>
        </w:tc>
        <w:tc>
          <w:tcPr>
            <w:tcW w:w="3301" w:type="dxa"/>
            <w:vAlign w:val="center"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80%</w:t>
            </w:r>
          </w:p>
        </w:tc>
      </w:tr>
      <w:tr w:rsidR="00D01308" w:rsidRPr="00BE6F14" w:rsidTr="00D01308">
        <w:trPr>
          <w:trHeight w:val="375"/>
        </w:trPr>
        <w:tc>
          <w:tcPr>
            <w:tcW w:w="4785" w:type="dxa"/>
            <w:noWrap/>
            <w:vAlign w:val="center"/>
            <w:hideMark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BM - 6</w:t>
            </w:r>
          </w:p>
        </w:tc>
        <w:tc>
          <w:tcPr>
            <w:tcW w:w="3301" w:type="dxa"/>
            <w:vAlign w:val="center"/>
          </w:tcPr>
          <w:p w:rsidR="00D01308" w:rsidRPr="00BE6F14" w:rsidRDefault="00D01308" w:rsidP="00D01308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</w:pPr>
            <w:r w:rsidRPr="00BE6F14">
              <w:rPr>
                <w:rFonts w:ascii="Times New Roman" w:hAnsi="Times New Roman" w:cs="Times New Roman"/>
                <w:color w:val="000000"/>
                <w:szCs w:val="30"/>
                <w:lang w:eastAsia="ru-RU"/>
              </w:rPr>
              <w:t>85%</w:t>
            </w:r>
          </w:p>
        </w:tc>
      </w:tr>
    </w:tbl>
    <w:p w:rsidR="00D81DEB" w:rsidRPr="00BE6F14" w:rsidRDefault="00D81DEB" w:rsidP="00D81DEB">
      <w:pPr>
        <w:shd w:val="clear" w:color="auto" w:fill="FFFFFF"/>
        <w:spacing w:before="300" w:after="150" w:line="300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BE6F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Желаем Вам удачи в игре!</w:t>
      </w:r>
    </w:p>
    <w:p w:rsidR="008471C3" w:rsidRPr="00BE6F14" w:rsidRDefault="008471C3">
      <w:pPr>
        <w:rPr>
          <w:rFonts w:ascii="Times New Roman" w:hAnsi="Times New Roman" w:cs="Times New Roman"/>
        </w:rPr>
      </w:pPr>
    </w:p>
    <w:sectPr w:rsidR="008471C3" w:rsidRPr="00BE6F14" w:rsidSect="0084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EB"/>
    <w:rsid w:val="000A2E0F"/>
    <w:rsid w:val="00700590"/>
    <w:rsid w:val="00841D92"/>
    <w:rsid w:val="008471C3"/>
    <w:rsid w:val="009142E6"/>
    <w:rsid w:val="00932340"/>
    <w:rsid w:val="00BE6F14"/>
    <w:rsid w:val="00D01308"/>
    <w:rsid w:val="00D8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3"/>
  </w:style>
  <w:style w:type="paragraph" w:styleId="1">
    <w:name w:val="heading 1"/>
    <w:basedOn w:val="a"/>
    <w:link w:val="10"/>
    <w:uiPriority w:val="9"/>
    <w:qFormat/>
    <w:rsid w:val="00D81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1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DEB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D0130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6">
    <w:name w:val="Table Grid"/>
    <w:basedOn w:val="a1"/>
    <w:uiPriority w:val="59"/>
    <w:rsid w:val="00D0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2901C-D3D6-4E34-B9F2-7143733C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fedarcovama</dc:creator>
  <cp:lastModifiedBy>fedarcovama</cp:lastModifiedBy>
  <cp:revision>3</cp:revision>
  <dcterms:created xsi:type="dcterms:W3CDTF">2019-02-25T12:01:00Z</dcterms:created>
  <dcterms:modified xsi:type="dcterms:W3CDTF">2019-03-13T13:02:00Z</dcterms:modified>
</cp:coreProperties>
</file>